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21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bookmarkStart w:id="0" w:name="_GoBack"/>
      <w:bookmarkEnd w:id="0"/>
      <w:r w:rsidR="002B4B77" w:rsidRPr="002B4B77">
        <w:t>«</w:t>
      </w:r>
      <w:r w:rsidR="00136BD7" w:rsidRPr="00136BD7">
        <w:t>О внесении изменений в постановление Законодательного Собрания Новосибирской области «Об основании и порядке сообщения 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890A4C" w:rsidRPr="00890A4C">
        <w:t>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8C1" w:rsidRDefault="005108C1">
      <w:r>
        <w:separator/>
      </w:r>
    </w:p>
  </w:endnote>
  <w:endnote w:type="continuationSeparator" w:id="0">
    <w:p w:rsidR="005108C1" w:rsidRDefault="0051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8C1" w:rsidRDefault="005108C1">
      <w:r>
        <w:separator/>
      </w:r>
    </w:p>
  </w:footnote>
  <w:footnote w:type="continuationSeparator" w:id="0">
    <w:p w:rsidR="005108C1" w:rsidRDefault="00510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36BD7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4B77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8C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A7EF0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3270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695F2-C0F9-434B-A362-7E5225C2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196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2023-02-13T08:56:00Z</cp:lastPrinted>
  <dcterms:created xsi:type="dcterms:W3CDTF">2023-03-22T07:15:00Z</dcterms:created>
  <dcterms:modified xsi:type="dcterms:W3CDTF">2023-03-22T07:15:00Z</dcterms:modified>
</cp:coreProperties>
</file>